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2E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海口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旅游职业学院烹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饪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工艺与营养专业</w:t>
      </w:r>
    </w:p>
    <w:p w14:paraId="77A7D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高职分类招生考试职业技能测试考试大纲</w:t>
      </w:r>
    </w:p>
    <w:p w14:paraId="6DA05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44076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一、考试性质与目的</w:t>
      </w:r>
    </w:p>
    <w:p w14:paraId="37865E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烹饪工艺与营养专业单招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技能测试是面向中等职业学校毕业生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(包括中等专业学校、职业高中、技工学校和成人中专)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的选拔性考试。其目的在于考核考生是否具备专业学习所必需的基础素质，包括基本的专业技能、理论知识以及职业素养等，以选拔适合烹饪工艺与营养专业学习的优秀人才。</w:t>
      </w:r>
    </w:p>
    <w:p w14:paraId="7AE27B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二、考试依据</w:t>
      </w:r>
    </w:p>
    <w:p w14:paraId="124331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1.依据海南省教育厅关于印发《2025年海南省高职分类招生考试工作方案》的通知文件精神。</w:t>
      </w:r>
    </w:p>
    <w:p w14:paraId="0E26C6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320" w:firstLineChars="1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2.参照中等职业学校中餐烹饪、中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面点等餐饮类专业教学标准。</w:t>
      </w:r>
    </w:p>
    <w:p w14:paraId="5BAF8A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563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3.参照中式烹调师（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级）、中式面点师（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级）等烹饪类职业资格证书相关知识点来设定相关考核内容。</w:t>
      </w:r>
    </w:p>
    <w:p w14:paraId="267E1E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三、考试方法</w:t>
      </w:r>
    </w:p>
    <w:p w14:paraId="75E727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职业技能测试总分为200 分，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包括专业能力测试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100分，技术技能测试100分。</w:t>
      </w:r>
    </w:p>
    <w:p w14:paraId="61ADB7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、考试总体内容和要求</w:t>
      </w:r>
    </w:p>
    <w:p w14:paraId="1D5F19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考试内容包括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能力测试（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测试）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、技术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技能测试（实操测试）。专业理论主要考核考生所报专业的理论知识，采取纸笔考试的方式；专业技能测试（实操测试）主要考查与专业相关的实践动手操作能力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采用现场实操考核的方式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 w14:paraId="60D8A1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（一）专业理论</w:t>
      </w:r>
    </w:p>
    <w:p w14:paraId="7EFB97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专业理论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考试内容主要包括中式烹调师基础知识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中式面点师基础知识两部分。</w:t>
      </w:r>
    </w:p>
    <w:p w14:paraId="11B1E7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参考书目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中式烹调师（中级）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国家职业技能鉴定考核指导，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中国石油大学出版社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，ISBN编号978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5636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4316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中式面点师(中级)/国家职业技能鉴定考核指导，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ISBN编号：978-7-5636-4256-4。</w:t>
      </w:r>
    </w:p>
    <w:p w14:paraId="54FF4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A2219FA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1551940" cy="1955165"/>
            <wp:effectExtent l="0" t="0" r="10160" b="6985"/>
            <wp:docPr id="2" name="图片 2" descr="1736405555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64055557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1579880" cy="1951355"/>
            <wp:effectExtent l="0" t="0" r="127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F1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E428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第一部分：中式烹调师基础知识</w:t>
      </w:r>
    </w:p>
    <w:p w14:paraId="68889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1.职业道德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2.饮食卫生知识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饮食营养知识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饮食成本核算知识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安全生产知识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原料初加工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知识；7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原料分档与切割；8.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原料切配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与预制加工；9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.菜肴制作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5A8F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第二部分：中式面点师基础知识</w:t>
      </w:r>
    </w:p>
    <w:p w14:paraId="49EAC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1.职业道德；2.基础知识；3.面点原料知识；4.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.面坯调制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工艺；6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.成形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工艺；7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.装饰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工艺。</w:t>
      </w:r>
    </w:p>
    <w:p w14:paraId="59F3C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技能测试（实操测试）</w:t>
      </w:r>
    </w:p>
    <w:p w14:paraId="342CCF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技能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主要考查与专业相关的实践动手操作能力。 </w:t>
      </w:r>
    </w:p>
    <w:p w14:paraId="5A35C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、试卷结构、答题要求及评分办法</w:t>
      </w:r>
    </w:p>
    <w:p w14:paraId="3BA07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1.专业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能力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总分100分，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专业理论测试主要考察学生的专业理论基础知识。试题全部为客观题，题型为单项选择题（30题），判断题（20题）。命题以国家职业标准《中式烹调师》、《中式面点师》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级工所需掌握的知识为基础。笔试时间为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0分钟。</w:t>
      </w:r>
    </w:p>
    <w:p w14:paraId="406BF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技能测试（实操测试）总分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分，要求考生在规定时间内按照试卷要求独立完成相应技能操作，考评员根据考生实际操作情况，依据评分细则进行现场打分。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考试时间为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20分钟。</w:t>
      </w:r>
    </w:p>
    <w:p w14:paraId="55172E83">
      <w:pPr>
        <w:adjustRightInd w:val="0"/>
        <w:snapToGrid w:val="0"/>
        <w:spacing w:line="520" w:lineRule="exact"/>
        <w:rPr>
          <w:rFonts w:hint="eastAsia" w:cs="仿宋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5D4A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814" w:right="1418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48D238-E6BF-497C-88C6-DB18E7EC03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37FFB7F-4938-4218-84D3-5083A847D2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0A3C7B9-8A26-4393-919F-C12D173D4A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D2DF8"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58285D8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FFF17"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F2B4C7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F208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4B"/>
    <w:rsid w:val="00046BF5"/>
    <w:rsid w:val="000A512A"/>
    <w:rsid w:val="00320AA8"/>
    <w:rsid w:val="003E53E3"/>
    <w:rsid w:val="003F2BBF"/>
    <w:rsid w:val="005A759A"/>
    <w:rsid w:val="0066626F"/>
    <w:rsid w:val="00701D89"/>
    <w:rsid w:val="00771BAC"/>
    <w:rsid w:val="007932EB"/>
    <w:rsid w:val="008163A9"/>
    <w:rsid w:val="0081762A"/>
    <w:rsid w:val="008A62FC"/>
    <w:rsid w:val="008C0EAC"/>
    <w:rsid w:val="00970FD7"/>
    <w:rsid w:val="00982CCF"/>
    <w:rsid w:val="00A278A8"/>
    <w:rsid w:val="00A834D0"/>
    <w:rsid w:val="00AA1C68"/>
    <w:rsid w:val="00AC36A5"/>
    <w:rsid w:val="00B871F3"/>
    <w:rsid w:val="00BD3F27"/>
    <w:rsid w:val="00CD228A"/>
    <w:rsid w:val="00DA31A2"/>
    <w:rsid w:val="00EB6E4B"/>
    <w:rsid w:val="00ED6FCA"/>
    <w:rsid w:val="00F144BB"/>
    <w:rsid w:val="00FC0B9C"/>
    <w:rsid w:val="00FD05AE"/>
    <w:rsid w:val="00FE7C8E"/>
    <w:rsid w:val="00FF6EE9"/>
    <w:rsid w:val="03AD764F"/>
    <w:rsid w:val="045015FF"/>
    <w:rsid w:val="04867A20"/>
    <w:rsid w:val="051B6E2E"/>
    <w:rsid w:val="0520399F"/>
    <w:rsid w:val="064A2B3D"/>
    <w:rsid w:val="09D02A5B"/>
    <w:rsid w:val="0E724D6D"/>
    <w:rsid w:val="0EED1247"/>
    <w:rsid w:val="0F841BAC"/>
    <w:rsid w:val="15AC7BAD"/>
    <w:rsid w:val="16884846"/>
    <w:rsid w:val="18164E5B"/>
    <w:rsid w:val="18D24647"/>
    <w:rsid w:val="19497D9A"/>
    <w:rsid w:val="1A6D15F1"/>
    <w:rsid w:val="1FAB0A8F"/>
    <w:rsid w:val="209169AD"/>
    <w:rsid w:val="22032E04"/>
    <w:rsid w:val="291A49E5"/>
    <w:rsid w:val="2BA82283"/>
    <w:rsid w:val="2BCA01C8"/>
    <w:rsid w:val="2BD02EEB"/>
    <w:rsid w:val="2DB44AB6"/>
    <w:rsid w:val="2EDF69A7"/>
    <w:rsid w:val="2F8371C0"/>
    <w:rsid w:val="2FE3699A"/>
    <w:rsid w:val="325B56E3"/>
    <w:rsid w:val="36793CC7"/>
    <w:rsid w:val="37157071"/>
    <w:rsid w:val="3FE16543"/>
    <w:rsid w:val="43FA11E7"/>
    <w:rsid w:val="4739637F"/>
    <w:rsid w:val="4B591C3C"/>
    <w:rsid w:val="4C1B166A"/>
    <w:rsid w:val="4F6C7D2D"/>
    <w:rsid w:val="55736988"/>
    <w:rsid w:val="56075D18"/>
    <w:rsid w:val="589929ED"/>
    <w:rsid w:val="5A663F70"/>
    <w:rsid w:val="5FCC096F"/>
    <w:rsid w:val="672C1A82"/>
    <w:rsid w:val="6B3D425E"/>
    <w:rsid w:val="71290ABD"/>
    <w:rsid w:val="714D0F73"/>
    <w:rsid w:val="71C72AD3"/>
    <w:rsid w:val="71E511AB"/>
    <w:rsid w:val="721C0979"/>
    <w:rsid w:val="730613D9"/>
    <w:rsid w:val="74BB07D4"/>
    <w:rsid w:val="750D18B7"/>
    <w:rsid w:val="79982FA7"/>
    <w:rsid w:val="7D513216"/>
    <w:rsid w:val="7D812874"/>
    <w:rsid w:val="7D97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reader-word-layer reader-word-s2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971</Words>
  <Characters>1054</Characters>
  <Lines>11</Lines>
  <Paragraphs>3</Paragraphs>
  <TotalTime>6</TotalTime>
  <ScaleCrop>false</ScaleCrop>
  <LinksUpToDate>false</LinksUpToDate>
  <CharactersWithSpaces>1069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2016-12-05T03:28:00Z</dcterms:created>
  <dc:creator>Skyfree</dc:creator>
  <cp:lastModifiedBy>书凝</cp:lastModifiedBy>
  <cp:lastPrinted>2016-12-05T08:41:00Z</cp:lastPrinted>
  <dcterms:modified xsi:type="dcterms:W3CDTF">2025-02-16T12:30:17Z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32BFDC89900C4F21ABF1E41A60AEB67A_13</vt:lpwstr>
  </property>
  <property fmtid="{D5CDD505-2E9C-101B-9397-08002B2CF9AE}" pid="4" name="KSOTemplateDocerSaveRecord">
    <vt:lpwstr>eyJoZGlkIjoiNzgwMWQ1NmQ0YzI0MjY4MjUyNGJmZDZmYTQ0OTRiNzUiLCJ1c2VySWQiOiIzNDU1NTA3OTkifQ==</vt:lpwstr>
  </property>
</Properties>
</file>